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9081"/>
      </w:tblGrid>
      <w:tr w:rsidR="003E36E9" w:rsidRPr="007441FB" w14:paraId="4BB1354B" w14:textId="77777777" w:rsidTr="007534B1">
        <w:trPr>
          <w:trHeight w:val="540"/>
          <w:tblCellSpacing w:w="0" w:type="dxa"/>
          <w:jc w:val="center"/>
        </w:trPr>
        <w:tc>
          <w:tcPr>
            <w:tcW w:w="50" w:type="pct"/>
            <w:shd w:val="clear" w:color="auto" w:fill="FBE4FB"/>
            <w:vAlign w:val="center"/>
            <w:hideMark/>
          </w:tcPr>
          <w:p w14:paraId="1C75FFA8" w14:textId="77777777" w:rsidR="003E36E9" w:rsidRPr="007441FB" w:rsidRDefault="003E36E9" w:rsidP="003E3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4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50" w:type="pct"/>
            <w:shd w:val="clear" w:color="auto" w:fill="FBE4FB"/>
            <w:vAlign w:val="center"/>
            <w:hideMark/>
          </w:tcPr>
          <w:p w14:paraId="75DD8D8B" w14:textId="77777777" w:rsidR="00296186" w:rsidRPr="007441FB" w:rsidRDefault="00AD3B7F" w:rsidP="003E3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4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Dr. </w:t>
            </w:r>
            <w:r w:rsidR="00892A43" w:rsidRPr="00744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BHUPENDER SINGH</w:t>
            </w:r>
          </w:p>
          <w:p w14:paraId="4F8C1291" w14:textId="4098EBA4" w:rsidR="003E36E9" w:rsidRPr="007441FB" w:rsidRDefault="00296186" w:rsidP="003E36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744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Department </w:t>
            </w:r>
            <w:proofErr w:type="gramStart"/>
            <w:r w:rsidRPr="00744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at </w:t>
            </w:r>
            <w:r w:rsidR="00A72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JC</w:t>
            </w:r>
            <w:proofErr w:type="gramEnd"/>
            <w:r w:rsidR="00A72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Bose </w:t>
            </w:r>
            <w:r w:rsidRPr="00744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University of Science and Technology, </w:t>
            </w:r>
            <w:r w:rsidR="00A725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YMCA, </w:t>
            </w:r>
            <w:r w:rsidRPr="00744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Farida</w:t>
            </w:r>
            <w:r w:rsidR="00AD3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bad, Haryana, India, Since 2011</w:t>
            </w:r>
          </w:p>
        </w:tc>
      </w:tr>
      <w:tr w:rsidR="003E36E9" w:rsidRPr="007441FB" w14:paraId="11D06B57" w14:textId="77777777" w:rsidTr="007534B1">
        <w:trPr>
          <w:trHeight w:val="2340"/>
          <w:tblCellSpacing w:w="0" w:type="dxa"/>
          <w:jc w:val="center"/>
        </w:trPr>
        <w:tc>
          <w:tcPr>
            <w:tcW w:w="9360" w:type="dxa"/>
            <w:gridSpan w:val="2"/>
            <w:shd w:val="clear" w:color="auto" w:fill="FBFDF3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0"/>
            </w:tblGrid>
            <w:tr w:rsidR="003E36E9" w:rsidRPr="007441FB" w14:paraId="5FC698F5" w14:textId="77777777" w:rsidTr="007534B1">
              <w:trPr>
                <w:tblCellSpacing w:w="0" w:type="dxa"/>
                <w:jc w:val="center"/>
              </w:trPr>
              <w:tc>
                <w:tcPr>
                  <w:tcW w:w="9173" w:type="dxa"/>
                  <w:vAlign w:val="center"/>
                  <w:hideMark/>
                </w:tcPr>
                <w:tbl>
                  <w:tblPr>
                    <w:tblW w:w="9469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"/>
                    <w:gridCol w:w="627"/>
                    <w:gridCol w:w="140"/>
                    <w:gridCol w:w="20"/>
                    <w:gridCol w:w="1653"/>
                    <w:gridCol w:w="57"/>
                    <w:gridCol w:w="4230"/>
                    <w:gridCol w:w="325"/>
                    <w:gridCol w:w="2045"/>
                    <w:gridCol w:w="274"/>
                  </w:tblGrid>
                  <w:tr w:rsidR="003E36E9" w:rsidRPr="007441FB" w14:paraId="3DE598D7" w14:textId="77777777" w:rsidTr="007534B1">
                    <w:trPr>
                      <w:gridAfter w:val="1"/>
                      <w:wAfter w:w="274" w:type="dxa"/>
                      <w:trHeight w:val="383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6856584F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5386B546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230" w:type="dxa"/>
                        <w:hideMark/>
                      </w:tcPr>
                      <w:p w14:paraId="71E531D1" w14:textId="77777777" w:rsidR="00565C09" w:rsidRPr="007441FB" w:rsidRDefault="00565C0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70" w:type="dxa"/>
                        <w:gridSpan w:val="2"/>
                        <w:vMerge w:val="restart"/>
                        <w:hideMark/>
                      </w:tcPr>
                      <w:p w14:paraId="00B514A4" w14:textId="77777777" w:rsidR="003E36E9" w:rsidRPr="007441FB" w:rsidRDefault="00565C0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7822EBE4" wp14:editId="6EC07892">
                              <wp:extent cx="1472540" cy="1246909"/>
                              <wp:effectExtent l="0" t="0" r="0" b="0"/>
                              <wp:docPr id="1" name="Picture 1" descr="c:\Users\bBS yadav\Desktop\Pds\PD\resume phot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bBS yadav\Desktop\Pds\PD\resume photo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6375" cy="125015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E36E9" w:rsidRPr="007441FB" w14:paraId="654C484A" w14:textId="77777777" w:rsidTr="007534B1">
                    <w:trPr>
                      <w:gridAfter w:val="1"/>
                      <w:wAfter w:w="274" w:type="dxa"/>
                      <w:trHeight w:val="533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2C2551F7" w14:textId="77777777" w:rsidR="003E36E9" w:rsidRPr="007441FB" w:rsidRDefault="008D26C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Qualifications</w:t>
                        </w: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2EC63837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4230" w:type="dxa"/>
                        <w:hideMark/>
                      </w:tcPr>
                      <w:p w14:paraId="05675466" w14:textId="77777777" w:rsidR="00892A43" w:rsidRPr="00651CF3" w:rsidRDefault="00AD3B7F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Ph. D. </w:t>
                        </w:r>
                        <w:r w:rsidR="003E36E9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="00892A43" w:rsidRPr="00651C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Benchmarking Process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14:paraId="681D8C4B" w14:textId="77777777" w:rsidR="00892A43" w:rsidRPr="00651CF3" w:rsidRDefault="00AD3B7F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 (YMCA </w:t>
                        </w:r>
                        <w:r w:rsidR="003E36E9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UST, Faridabad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-2017</w:t>
                        </w:r>
                        <w:r w:rsidR="003E36E9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14:paraId="6B0F978A" w14:textId="77777777" w:rsidR="00A725B4" w:rsidRPr="00651CF3" w:rsidRDefault="00A725B4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509BFEC6" w14:textId="77777777" w:rsidR="00BE085F" w:rsidRPr="00651CF3" w:rsidRDefault="003E36E9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M.</w:t>
                        </w:r>
                        <w:r w:rsidR="00892A43" w:rsidRPr="00651CF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892A43" w:rsidRPr="00651CF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Tech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 w:rsidR="00892A43" w:rsidRPr="00651C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Manufacturing &amp; Automation</w:t>
                        </w:r>
                        <w:r w:rsidR="00892A43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14:paraId="0B89D07E" w14:textId="77777777" w:rsidR="00892A43" w:rsidRPr="00651CF3" w:rsidRDefault="003E36E9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YMCA </w:t>
                        </w:r>
                        <w:r w:rsidR="00892A43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UST, Faridabad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-2009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14:paraId="2EC33282" w14:textId="77777777" w:rsidR="00A725B4" w:rsidRPr="00651CF3" w:rsidRDefault="00A725B4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1102E17" w14:textId="77777777" w:rsidR="00AD3B7F" w:rsidRPr="00651CF3" w:rsidRDefault="003E36E9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B.E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 (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Mechanical Engineering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14:paraId="24C50AAA" w14:textId="77777777" w:rsidR="00892A43" w:rsidRPr="00651CF3" w:rsidRDefault="00892A43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(R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V, Bhopal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-2005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  <w:p w14:paraId="619BB7BD" w14:textId="77777777" w:rsidR="00A725B4" w:rsidRPr="00651CF3" w:rsidRDefault="00A725B4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3636DB39" w14:textId="77777777" w:rsidR="00892A43" w:rsidRPr="00651CF3" w:rsidRDefault="00892A43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Diploma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r w:rsidR="00BE085F" w:rsidRPr="00651CF3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  <w:t>Automobile Engineering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) </w:t>
                        </w:r>
                      </w:p>
                      <w:p w14:paraId="7184EDC6" w14:textId="4594D64F" w:rsidR="00892A43" w:rsidRPr="00651CF3" w:rsidRDefault="00892A43" w:rsidP="00AD3B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MPBTE,</w:t>
                        </w:r>
                        <w:r w:rsidR="00A725B4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AD3B7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Bhopal-2002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370" w:type="dxa"/>
                        <w:gridSpan w:val="2"/>
                        <w:vMerge/>
                        <w:vAlign w:val="center"/>
                        <w:hideMark/>
                      </w:tcPr>
                      <w:p w14:paraId="13A2BD7E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E36E9" w:rsidRPr="007441FB" w14:paraId="46F5B131" w14:textId="77777777" w:rsidTr="007534B1">
                    <w:trPr>
                      <w:gridAfter w:val="1"/>
                      <w:wAfter w:w="274" w:type="dxa"/>
                      <w:trHeight w:val="533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3A7E1D98" w14:textId="77777777" w:rsidR="00536DA6" w:rsidRPr="007441FB" w:rsidRDefault="00536DA6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13421A7A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69FE6E05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230" w:type="dxa"/>
                        <w:hideMark/>
                      </w:tcPr>
                      <w:p w14:paraId="60CF9C64" w14:textId="77777777" w:rsidR="00536DA6" w:rsidRPr="00651CF3" w:rsidRDefault="00536DA6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0" w:type="dxa"/>
                        <w:gridSpan w:val="2"/>
                        <w:vMerge/>
                        <w:vAlign w:val="center"/>
                        <w:hideMark/>
                      </w:tcPr>
                      <w:p w14:paraId="17AF9BB8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E36E9" w:rsidRPr="007441FB" w14:paraId="68E276B6" w14:textId="77777777" w:rsidTr="007534B1">
                    <w:trPr>
                      <w:gridAfter w:val="1"/>
                      <w:wAfter w:w="274" w:type="dxa"/>
                      <w:trHeight w:val="533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5A9B8C5A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Designation</w:t>
                        </w: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1C643396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4230" w:type="dxa"/>
                        <w:hideMark/>
                      </w:tcPr>
                      <w:p w14:paraId="4B1BC1A1" w14:textId="758F0340" w:rsidR="00536DA6" w:rsidRPr="00651CF3" w:rsidRDefault="003E36E9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Assistant Professor</w:t>
                        </w:r>
                        <w:r w:rsidR="00536DA6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A725B4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(SG), </w:t>
                        </w:r>
                        <w:r w:rsidR="00536DA6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Mechanical</w:t>
                        </w:r>
                      </w:p>
                      <w:p w14:paraId="02E029EA" w14:textId="77777777" w:rsidR="00536DA6" w:rsidRPr="00651CF3" w:rsidRDefault="00536DA6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0" w:type="dxa"/>
                        <w:gridSpan w:val="2"/>
                        <w:vMerge/>
                        <w:vAlign w:val="center"/>
                        <w:hideMark/>
                      </w:tcPr>
                      <w:p w14:paraId="6CB4A31D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E36E9" w:rsidRPr="007441FB" w14:paraId="2DD01E03" w14:textId="77777777" w:rsidTr="007534B1">
                    <w:trPr>
                      <w:gridAfter w:val="1"/>
                      <w:wAfter w:w="274" w:type="dxa"/>
                      <w:trHeight w:val="533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52F11987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Address</w:t>
                        </w: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066D4216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4230" w:type="dxa"/>
                        <w:hideMark/>
                      </w:tcPr>
                      <w:p w14:paraId="288D0B01" w14:textId="4D52A5D4" w:rsidR="00AD3B10" w:rsidRPr="00651CF3" w:rsidRDefault="00536DA6" w:rsidP="00BD26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Room No.403</w:t>
                        </w:r>
                        <w:r w:rsidR="00BD26EE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="003E36E9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chanical </w:t>
                        </w:r>
                        <w:proofErr w:type="spellStart"/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Eng</w:t>
                        </w:r>
                        <w:r w:rsidR="00BD26EE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  <w:proofErr w:type="spellEnd"/>
                        <w:r w:rsidR="00BD26EE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Dep</w:t>
                        </w:r>
                        <w:r w:rsidR="00BD26EE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tt</w:t>
                        </w:r>
                        <w:proofErr w:type="spellEnd"/>
                        <w:r w:rsidR="00BD26EE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="00A725B4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J C Bose 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University of Science &amp;</w:t>
                        </w:r>
                        <w:r w:rsidR="003E36E9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Tech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nology</w:t>
                        </w:r>
                        <w:r w:rsidR="00E30AC8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A725B4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YMCA,</w:t>
                        </w:r>
                        <w:r w:rsidR="00E30AC8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Faridabad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Haryana,</w:t>
                        </w:r>
                        <w:r w:rsid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INDIA -121006</w:t>
                        </w:r>
                        <w:r w:rsidR="00BE085F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14:paraId="45EBE401" w14:textId="7C791B16" w:rsidR="00536DA6" w:rsidRPr="00651CF3" w:rsidRDefault="00BE085F" w:rsidP="00BD26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Phone No.: </w:t>
                        </w:r>
                        <w:r w:rsidR="00A725B4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9416702828</w:t>
                        </w:r>
                      </w:p>
                      <w:p w14:paraId="37FD8B0B" w14:textId="77777777" w:rsidR="00A725B4" w:rsidRPr="00651CF3" w:rsidRDefault="00A725B4" w:rsidP="00BD26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596CE83" w14:textId="77777777" w:rsidR="003E36E9" w:rsidRPr="00651CF3" w:rsidRDefault="003E36E9" w:rsidP="00536DA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70" w:type="dxa"/>
                        <w:gridSpan w:val="2"/>
                        <w:vMerge/>
                        <w:vAlign w:val="center"/>
                        <w:hideMark/>
                      </w:tcPr>
                      <w:p w14:paraId="057D2A65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E36E9" w:rsidRPr="007441FB" w14:paraId="00244B85" w14:textId="77777777" w:rsidTr="007534B1">
                    <w:trPr>
                      <w:gridAfter w:val="1"/>
                      <w:wAfter w:w="274" w:type="dxa"/>
                      <w:trHeight w:val="533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241C3135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E-Mail</w:t>
                        </w: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6898891B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4230" w:type="dxa"/>
                        <w:hideMark/>
                      </w:tcPr>
                      <w:p w14:paraId="3ED0BC42" w14:textId="03DA7872" w:rsidR="003E36E9" w:rsidRPr="00651CF3" w:rsidRDefault="00536DA6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bhupee_28@yahoo.co.in</w:t>
                        </w:r>
                        <w:r w:rsidR="00A725B4" w:rsidRPr="00651C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bhupee_28@jcboseust.ac.in</w:t>
                        </w:r>
                      </w:p>
                    </w:tc>
                    <w:tc>
                      <w:tcPr>
                        <w:tcW w:w="2370" w:type="dxa"/>
                        <w:gridSpan w:val="2"/>
                        <w:vMerge/>
                        <w:vAlign w:val="center"/>
                        <w:hideMark/>
                      </w:tcPr>
                      <w:p w14:paraId="68D2F595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E36E9" w:rsidRPr="007441FB" w14:paraId="474C81F3" w14:textId="77777777" w:rsidTr="007534B1">
                    <w:trPr>
                      <w:gridAfter w:val="1"/>
                      <w:wAfter w:w="274" w:type="dxa"/>
                      <w:trHeight w:val="533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0B71E07F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2ABE1DF0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600" w:type="dxa"/>
                        <w:gridSpan w:val="3"/>
                        <w:hideMark/>
                      </w:tcPr>
                      <w:p w14:paraId="5A8F5213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3E36E9" w:rsidRPr="007441FB" w14:paraId="793CE247" w14:textId="77777777" w:rsidTr="000B663E">
                    <w:trPr>
                      <w:gridAfter w:val="2"/>
                      <w:wAfter w:w="2319" w:type="dxa"/>
                      <w:trHeight w:val="18119"/>
                      <w:tblCellSpacing w:w="0" w:type="dxa"/>
                    </w:trPr>
                    <w:tc>
                      <w:tcPr>
                        <w:tcW w:w="865" w:type="dxa"/>
                        <w:gridSpan w:val="3"/>
                        <w:hideMark/>
                      </w:tcPr>
                      <w:p w14:paraId="0C68EEB9" w14:textId="77777777" w:rsidR="007534B1" w:rsidRDefault="007534B1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37B0847" w14:textId="77777777" w:rsidR="007534B1" w:rsidRDefault="007534B1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36DFD30D" w14:textId="77777777" w:rsidR="007534B1" w:rsidRDefault="007534B1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2F527FF" w14:textId="77777777" w:rsidR="007534B1" w:rsidRDefault="007534B1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5D221DBE" w14:textId="75AF119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" w:type="dxa"/>
                        <w:hideMark/>
                      </w:tcPr>
                      <w:p w14:paraId="00DBF365" w14:textId="10F1C8B0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265" w:type="dxa"/>
                        <w:gridSpan w:val="4"/>
                        <w:hideMark/>
                      </w:tcPr>
                      <w:p w14:paraId="02B4692D" w14:textId="77777777" w:rsidR="007534B1" w:rsidRDefault="007534B1" w:rsidP="007534B1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Total having more than 15 </w:t>
                        </w:r>
                        <w:r w:rsidRPr="00935CD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years’ experience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including Teaching and Re</w:t>
                        </w:r>
                        <w:r w:rsidRPr="00935CD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sea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  <w:r w:rsidRPr="00935CD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 w:rsidRPr="00935CD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86E3FCF" w14:textId="68C77988" w:rsidR="007534B1" w:rsidRDefault="007534B1" w:rsidP="007534B1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63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Area of </w:t>
                        </w:r>
                        <w:r w:rsidR="000B663E" w:rsidRPr="000B663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Interest</w:t>
                        </w:r>
                        <w:r w:rsidRPr="000B663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Composite Materials, </w:t>
                        </w:r>
                        <w:r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Advanced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Manufacturing System, </w:t>
                        </w:r>
                        <w:r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Quality Management System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Swot Analysis, Advanced Automobile System, </w:t>
                        </w:r>
                        <w:r w:rsidR="000B6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Advanced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Solar Syste</w:t>
                        </w:r>
                        <w:r w:rsidR="000B6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  <w:p w14:paraId="7434EF57" w14:textId="77777777" w:rsidR="000B663E" w:rsidRDefault="000B663E" w:rsidP="007534B1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Published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more than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100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research papers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with 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various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reputed Publishers like Inder science,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Springer, Emerald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Sage 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and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attended 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International Conferences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in reputed institutions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like 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IIM,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IIT, 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DTU Delhi,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PEC Chandigarh,</w:t>
                        </w:r>
                        <w:r w:rsidR="007534B1" w:rsidRPr="003C324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at Dubai (UAE),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etc.</w:t>
                        </w:r>
                        <w:r w:rsidR="007534B1" w:rsidRPr="00AD1BD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3F40334" w14:textId="4A6AF804" w:rsidR="000B663E" w:rsidRDefault="000B663E" w:rsidP="007534B1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Books Published: </w:t>
                        </w:r>
                        <w:r w:rsidRPr="000B6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 w:rsidR="007534B1" w:rsidRPr="000B66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dited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02 Books and 10 Chapters in International Publishers </w:t>
                        </w:r>
                      </w:p>
                      <w:p w14:paraId="5EB3FBD0" w14:textId="477557BE" w:rsidR="000B663E" w:rsidRDefault="000B663E" w:rsidP="007534B1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63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PhD Guid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ance</w:t>
                        </w:r>
                        <w:r w:rsidRPr="000B663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01 student has awarded his PhD degree and presently 02 students are pursuing their PhD Research work</w:t>
                        </w:r>
                      </w:p>
                      <w:p w14:paraId="40574D5B" w14:textId="6DC95367" w:rsidR="000B663E" w:rsidRDefault="000B663E" w:rsidP="007534B1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63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M Tech G</w:t>
                        </w:r>
                        <w:r w:rsidR="007534B1" w:rsidRPr="000B663E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uidance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: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M. Tech students for completion of their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Thesis</w:t>
                        </w:r>
                        <w:proofErr w:type="gramEnd"/>
                        <w:r w:rsidR="007534B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374F8E70" w14:textId="77777777" w:rsidR="007534B1" w:rsidRDefault="007534B1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450F4C5C" w14:textId="77777777" w:rsidR="000B663E" w:rsidRPr="00651CF3" w:rsidRDefault="000B663E" w:rsidP="000B663E">
                        <w:pPr>
                          <w:pStyle w:val="Heading8"/>
                          <w:spacing w:before="0" w:beforeAutospacing="0" w:after="0" w:afterAutospacing="0"/>
                          <w:contextualSpacing/>
                          <w:rPr>
                            <w:bCs/>
                          </w:rPr>
                        </w:pPr>
                        <w:r w:rsidRPr="00651CF3">
                          <w:rPr>
                            <w:b/>
                            <w:bCs/>
                          </w:rPr>
                          <w:t>Under Graduate (</w:t>
                        </w:r>
                        <w:proofErr w:type="spellStart"/>
                        <w:proofErr w:type="gramStart"/>
                        <w:r w:rsidRPr="00651CF3">
                          <w:rPr>
                            <w:b/>
                            <w:bCs/>
                          </w:rPr>
                          <w:t>B.Tech</w:t>
                        </w:r>
                        <w:proofErr w:type="spellEnd"/>
                        <w:proofErr w:type="gramEnd"/>
                        <w:r w:rsidRPr="00651CF3">
                          <w:rPr>
                            <w:b/>
                            <w:bCs/>
                          </w:rPr>
                          <w:t xml:space="preserve">) Project Supervision: </w:t>
                        </w:r>
                        <w:r w:rsidRPr="00651CF3">
                          <w:rPr>
                            <w:bCs/>
                            <w:i/>
                          </w:rPr>
                          <w:t>Numerous</w:t>
                        </w:r>
                      </w:p>
                      <w:p w14:paraId="4B89E206" w14:textId="77777777" w:rsidR="000B663E" w:rsidRPr="00651CF3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  <w:p w14:paraId="31445387" w14:textId="77777777" w:rsidR="000B663E" w:rsidRPr="00651CF3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  <w:p w14:paraId="681D8C8D" w14:textId="77777777" w:rsidR="000B663E" w:rsidRPr="00651CF3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  <w:p w14:paraId="23DF87CF" w14:textId="77777777" w:rsidR="00651CF3" w:rsidRPr="00651CF3" w:rsidRDefault="00651CF3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 xml:space="preserve">Publications: - </w:t>
                        </w:r>
                      </w:p>
                      <w:p w14:paraId="65DFE357" w14:textId="77777777" w:rsidR="00651CF3" w:rsidRPr="00651CF3" w:rsidRDefault="00651CF3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1D6BB62B" w14:textId="3F9175FF" w:rsidR="000B663E" w:rsidRPr="00651CF3" w:rsidRDefault="00651CF3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</w:rPr>
                        </w:pPr>
                        <w:r w:rsidRPr="00651CF3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</w:rPr>
                          <w:t xml:space="preserve">More than </w:t>
                        </w:r>
                        <w:r w:rsidR="007273B0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</w:rPr>
                          <w:t>50</w:t>
                        </w:r>
                        <w:r w:rsidRPr="00651CF3">
                          <w:rPr>
                            <w:rFonts w:ascii="Times New Roman" w:eastAsia="Times New Roman" w:hAnsi="Times New Roman" w:cs="Times New Roman"/>
                            <w:iCs/>
                            <w:sz w:val="24"/>
                            <w:szCs w:val="24"/>
                          </w:rPr>
                          <w:t xml:space="preserve"> Research papers are published including Journals and Conferences </w:t>
                        </w:r>
                      </w:p>
                      <w:p w14:paraId="11AA72F9" w14:textId="77777777" w:rsidR="000B663E" w:rsidRPr="00651CF3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  <w:p w14:paraId="2AB747EA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669E05CD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6AEB283F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2B421A78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325DA6A1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79D9DCCD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1F1A2F4A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4DBA700C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5A0DFDD3" w14:textId="77777777" w:rsidR="000B663E" w:rsidRDefault="000B663E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0"/>
                            <w:szCs w:val="20"/>
                          </w:rPr>
                        </w:pPr>
                      </w:p>
                      <w:p w14:paraId="4425CD2C" w14:textId="520FB383" w:rsidR="003E36E9" w:rsidRPr="00C87DDB" w:rsidRDefault="003E36E9" w:rsidP="000B66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725B4" w14:paraId="2F8E41B5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585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80EB35C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lastRenderedPageBreak/>
                          <w:t>S. No.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039596" w14:textId="7567512B" w:rsidR="00A725B4" w:rsidRDefault="000B663E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Some of Major </w:t>
                        </w:r>
                        <w:r w:rsidR="00A725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Research Papers</w:t>
                        </w:r>
                      </w:p>
                    </w:tc>
                  </w:tr>
                  <w:tr w:rsidR="00A725B4" w14:paraId="604B128D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F7B88A7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366EF2" w14:textId="77777777" w:rsidR="00A725B4" w:rsidRPr="00651CF3" w:rsidRDefault="00A725B4" w:rsidP="002B3FF3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Experimental Investigations on The Electrochemical Machining of D3 Die Steel Material </w:t>
                        </w:r>
                        <w:proofErr w:type="gramStart"/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And</w:t>
                        </w:r>
                        <w:proofErr w:type="gramEnd"/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 Multi-Objective Parameter Optimization.,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Surface Review and Letters (SRL)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31, no. 09 (2024): 1-12.</w:t>
                        </w:r>
                      </w:p>
                    </w:tc>
                  </w:tr>
                  <w:tr w:rsidR="00A725B4" w14:paraId="7E61631F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324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B13A6DB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4EE28" w14:textId="77777777" w:rsidR="00A725B4" w:rsidRPr="00651CF3" w:rsidRDefault="00A725B4" w:rsidP="002B3FF3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Fabrication and Characterization of AA 6082-t6 produced by Friction Stir Additive Manufacturing,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 Surface Review and Letters (SRL), On line Ready</w:t>
                        </w:r>
                      </w:p>
                    </w:tc>
                  </w:tr>
                  <w:tr w:rsidR="00A725B4" w14:paraId="7130A391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924A05B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28CC41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424753"/>
                            <w:sz w:val="18"/>
                            <w:szCs w:val="18"/>
                            <w:shd w:val="clear" w:color="auto" w:fill="FFFFFF"/>
                          </w:rPr>
                          <w:t>Concurrence of Process Optimized Parameters for Friction Stir Processed AA-6082-T6, </w:t>
                        </w:r>
                        <w:r w:rsidRPr="00651CF3">
                          <w:rPr>
                            <w:rStyle w:val="HTMLCite"/>
                            <w:rFonts w:ascii="Times New Roman" w:hAnsi="Times New Roman" w:cs="Times New Roman"/>
                            <w:color w:val="424753"/>
                            <w:sz w:val="18"/>
                            <w:szCs w:val="18"/>
                            <w:shd w:val="clear" w:color="auto" w:fill="FFFFFF"/>
                          </w:rPr>
                          <w:t>International Journal of Engineering Trends and Technology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424753"/>
                            <w:sz w:val="18"/>
                            <w:szCs w:val="18"/>
                            <w:shd w:val="clear" w:color="auto" w:fill="FFFFFF"/>
                          </w:rPr>
                          <w:t xml:space="preserve"> 70, no.3, (2022):254-265.</w:t>
                        </w:r>
                      </w:p>
                    </w:tc>
                  </w:tr>
                  <w:tr w:rsidR="00A725B4" w14:paraId="35C2B1B2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1FFD63A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CA6647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424753"/>
                            <w:sz w:val="18"/>
                            <w:szCs w:val="18"/>
                            <w:shd w:val="clear" w:color="auto" w:fill="FFFFFF"/>
                          </w:rPr>
                          <w:t>Comparison of Mechanical properties in Single-Pass, Two-Pass and Three-Pass approach Friction Stir Processing of Aluminium Alloy, </w:t>
                        </w:r>
                        <w:r w:rsidRPr="00651CF3">
                          <w:rPr>
                            <w:rStyle w:val="HTMLCite"/>
                            <w:rFonts w:ascii="Times New Roman" w:hAnsi="Times New Roman" w:cs="Times New Roman"/>
                            <w:color w:val="424753"/>
                            <w:sz w:val="18"/>
                            <w:szCs w:val="18"/>
                            <w:shd w:val="clear" w:color="auto" w:fill="FFFFFF"/>
                          </w:rPr>
                          <w:t>International Journal of Engineering Trends and Technology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424753"/>
                            <w:sz w:val="18"/>
                            <w:szCs w:val="18"/>
                            <w:shd w:val="clear" w:color="auto" w:fill="FFFFFF"/>
                          </w:rPr>
                          <w:t>70, no. 3, 2022:302-309</w:t>
                        </w:r>
                      </w:p>
                    </w:tc>
                  </w:tr>
                  <w:tr w:rsidR="00A725B4" w14:paraId="084C16AA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927D5E8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45C965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Effect of quenching on post-processed aluminium 6082 alloy using friction stir processing.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Materials Today: Proceedings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63 (2022): 387-394.</w:t>
                        </w:r>
                      </w:p>
                    </w:tc>
                  </w:tr>
                  <w:tr w:rsidR="00A725B4" w14:paraId="2603DC70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A0E2B9B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ABCDD3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Effect of groove shape on mechanical properties of surface composites of Al 6082 prepared using friction stir processing,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Materials Today: Proceedings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63 (2022): 462-468.</w:t>
                        </w:r>
                      </w:p>
                    </w:tc>
                  </w:tr>
                  <w:tr w:rsidR="00A725B4" w14:paraId="7D015A15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D2C84C8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EEF387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000000"/>
                            <w:spacing w:val="4"/>
                            <w:sz w:val="18"/>
                            <w:szCs w:val="18"/>
                            <w:shd w:val="clear" w:color="auto" w:fill="FFFFFF"/>
                          </w:rPr>
                          <w:t>Smart building materials for energy and heat transfer optimization,</w:t>
                        </w:r>
                        <w:r w:rsidRPr="00651CF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000000"/>
                            <w:spacing w:val="4"/>
                            <w:sz w:val="18"/>
                            <w:szCs w:val="18"/>
                            <w:shd w:val="clear" w:color="auto" w:fill="FFFFFF"/>
                          </w:rPr>
                          <w:t>Sustainable Technologies for Energy Efficient Buildings, CRC Press,2024,46-63.</w:t>
                        </w:r>
                      </w:p>
                    </w:tc>
                  </w:tr>
                  <w:tr w:rsidR="00A725B4" w14:paraId="5B20D1E3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7E9C1E1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BF9E18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Design and analysis of a solar-based gear pump system, In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Highly Efficient Thermal Renewable Energy Systems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, pp. 290-304, 2024, CRC Press.</w:t>
                        </w:r>
                      </w:p>
                    </w:tc>
                  </w:tr>
                  <w:tr w:rsidR="00A725B4" w14:paraId="53564C59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1520E322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B657E2" w14:textId="77777777" w:rsidR="00A725B4" w:rsidRPr="00651CF3" w:rsidRDefault="00A725B4" w:rsidP="002B3FF3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 Comparative assessment of hydrogen production methods from renewable energy: A review,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Highly Efficient Thermal Renewable Energy Systems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: 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000000"/>
                            <w:spacing w:val="4"/>
                            <w:sz w:val="18"/>
                            <w:szCs w:val="18"/>
                            <w:shd w:val="clear" w:color="auto" w:fill="FFFFFF"/>
                          </w:rPr>
                          <w:t>CRC Press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,2024, 194-210.</w:t>
                        </w:r>
                      </w:p>
                    </w:tc>
                  </w:tr>
                  <w:tr w:rsidR="00A725B4" w14:paraId="6E109076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0BBC49B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7232B8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An empirical study of benchmarking evaluation using MCDM in service industries,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Managerial Auditing Journal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32, no. 2 (2017): 111-147.</w:t>
                        </w:r>
                      </w:p>
                    </w:tc>
                  </w:tr>
                  <w:tr w:rsidR="00A725B4" w14:paraId="557697FC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99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C82F3FC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6D6BA6E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6BAC40F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Analysis of interaction among the barriers to 5S implementation using interpretive structural modeling approach b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enchmarking: An International Journal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24, no. 7 (2017): 1834-1853.</w:t>
                        </w:r>
                      </w:p>
                      <w:p w14:paraId="060052D6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725B4" w14:paraId="4E6A6F6B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02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1B179E2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9DBD0D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A benchmarking model for Indian service industries using MICMAC and WISM approach,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System Assurance Engineering and Management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8 (2017): 1266-1281.</w:t>
                        </w:r>
                      </w:p>
                    </w:tc>
                  </w:tr>
                  <w:tr w:rsidR="00A725B4" w14:paraId="215856CA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45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4413196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183FE7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Evaluation of benchmarking attribute for service quality using multi attitude decision making approach,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System Assurance Engineering and Management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8 (2017): 617-630.</w:t>
                        </w:r>
                      </w:p>
                    </w:tc>
                  </w:tr>
                  <w:tr w:rsidR="00A725B4" w14:paraId="3AE7F6A5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11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5063D00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5F1CFD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A novel hybrid model for selection of benchmarking technique in Indian service industries,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Process Management and Benchmarking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7, no. 4 (2017): 409-436.</w:t>
                        </w:r>
                      </w:p>
                    </w:tc>
                  </w:tr>
                  <w:tr w:rsidR="00A725B4" w14:paraId="68F6270B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14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FEDDE99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817870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Applications of MOORA method for benchmarking decision in Indian industries,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Advanced Operations Management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9, no. 2 (2017): 88-105.</w:t>
                        </w:r>
                      </w:p>
                    </w:tc>
                  </w:tr>
                  <w:tr w:rsidR="00A725B4" w14:paraId="78796384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30"/>
                    </w:trPr>
                    <w:tc>
                      <w:tcPr>
                        <w:tcW w:w="62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644C057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693A04C" w14:textId="76B094B9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Integrated MCDM for Benchmarking Techniques in Indian Service Industries,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Innovation and Technology Management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13, no. 6 (2016): 1750005.</w:t>
                        </w:r>
                      </w:p>
                    </w:tc>
                  </w:tr>
                  <w:tr w:rsidR="00A725B4" w14:paraId="767F2723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63EBABF9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315462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Weighted ISM approach to interface amongst the barriers of benchmarking in Indian service industries,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Advanced Operations Management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7, no. 4 (2015): 317-340.</w:t>
                        </w:r>
                      </w:p>
                    </w:tc>
                  </w:tr>
                  <w:tr w:rsidR="00A725B4" w14:paraId="348E1C3A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70D6D5E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29682C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A Benchmark model for internal assessment of industry using Fuzzy </w:t>
                        </w:r>
                        <w:proofErr w:type="spellStart"/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Topsis</w:t>
                        </w:r>
                        <w:proofErr w:type="spellEnd"/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 approach,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Recent advances in Mechanical Engineering (IJMECH)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4, no. 1 (2015): 93-105.</w:t>
                        </w:r>
                      </w:p>
                    </w:tc>
                  </w:tr>
                  <w:tr w:rsidR="00A725B4" w14:paraId="704A74A0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ADDB868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857BB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An assessment model for benchmarking in manufacturing industries,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Hybrid Information Technology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8, no. 12 (2015): 241-252.</w:t>
                        </w:r>
                      </w:p>
                    </w:tc>
                  </w:tr>
                  <w:tr w:rsidR="00A725B4" w14:paraId="224CA0EB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3691A34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1F354D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A Benchmarking Model for Indian Service Industries. in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CAD/CAM, Robotics and Factories of the Future: 28th IC on CARs &amp; </w:t>
                        </w:r>
                        <w:proofErr w:type="spellStart"/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FoF</w:t>
                        </w:r>
                        <w:proofErr w:type="spellEnd"/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 2016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, pp. 689-696. Springer India, 2016.</w:t>
                        </w:r>
                      </w:p>
                    </w:tc>
                  </w:tr>
                  <w:tr w:rsidR="00A725B4" w14:paraId="4E5EA931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0C617F5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9201DE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Review of Joining Processes of Smart Materials, Journal of Recent Activities in Production, 9, no.1, (2024),1-10.</w:t>
                        </w:r>
                      </w:p>
                    </w:tc>
                  </w:tr>
                  <w:tr w:rsidR="00A725B4" w14:paraId="1CA3D29F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208DAD45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3CFC31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Exergy Based Evaluation of Coal Based Thermal Power Plants: A Review. 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International Journal of Emerging Technology and Advanced Engineering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3, no.</w:t>
                        </w:r>
                        <w:proofErr w:type="gramStart"/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2,(</w:t>
                        </w:r>
                        <w:proofErr w:type="gramEnd"/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2013), 66-68.</w:t>
                        </w:r>
                      </w:p>
                    </w:tc>
                  </w:tr>
                  <w:tr w:rsidR="00A725B4" w14:paraId="59723278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3D3EA1D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lastRenderedPageBreak/>
                          <w:t>23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C937E6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Barriers of supply chain for Industries in Indian scenario: Pandemic Covid-19 impact using ISM approach.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Journal of Future Sustainability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4, no. 4 (2024): 179-188.</w:t>
                        </w:r>
                      </w:p>
                    </w:tc>
                  </w:tr>
                  <w:tr w:rsidR="00A725B4" w14:paraId="7BF071E4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D06FD1D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24</w:t>
                        </w:r>
                      </w:p>
                      <w:p w14:paraId="6028FB01" w14:textId="77777777" w:rsidR="00A725B4" w:rsidRDefault="00A725B4" w:rsidP="002B3F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F323B6B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651E3A7B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B66CE1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 xml:space="preserve">An analytic hierarchy process for benchmarking of automobile car service industry in Indian context. </w:t>
                        </w:r>
                        <w:r w:rsidRPr="00651CF3">
                          <w:rPr>
                            <w:rFonts w:ascii="Times New Roman" w:hAnsi="Times New Roman" w:cs="Times New Roman"/>
                            <w:i/>
                            <w:iCs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Management Science Letters</w:t>
                        </w: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  <w:t> 5, no. 6 (2015): 543-554.</w:t>
                        </w:r>
                      </w:p>
                      <w:p w14:paraId="187BD8AB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233E54C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A725B4" w14:paraId="1CA8A52D" w14:textId="77777777" w:rsidTr="007534B1">
                    <w:tblPrEx>
                      <w:tblCellSpacing w:w="0" w:type="nil"/>
                      <w:tblCellMar>
                        <w:left w:w="108" w:type="dxa"/>
                        <w:right w:w="108" w:type="dxa"/>
                      </w:tblCellMar>
                    </w:tblPrEx>
                    <w:trPr>
                      <w:gridBefore w:val="1"/>
                      <w:wBefore w:w="98" w:type="dxa"/>
                      <w:trHeight w:val="1200"/>
                    </w:trPr>
                    <w:tc>
                      <w:tcPr>
                        <w:tcW w:w="6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24E3D80" w14:textId="77777777" w:rsidR="00A725B4" w:rsidRDefault="00A725B4" w:rsidP="002B3FF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8744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9A3324" w14:textId="77777777" w:rsidR="00A725B4" w:rsidRPr="00651CF3" w:rsidRDefault="00A725B4" w:rsidP="002B3FF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651CF3">
                          <w:rPr>
                            <w:rFonts w:ascii="Times New Roman" w:hAnsi="Times New Roman" w:cs="Times New Roman"/>
                            <w:color w:val="222222"/>
                            <w:sz w:val="18"/>
                            <w:szCs w:val="18"/>
                            <w:shd w:val="clear" w:color="auto" w:fill="FFFFFF"/>
                            <w:lang w:val="en-US"/>
                          </w:rPr>
                          <w:t>Design and Analysis of Solar Tracking System for PV thermal Performance Enhancement, Heat Transfer,2024</w:t>
                        </w:r>
                      </w:p>
                    </w:tc>
                  </w:tr>
                  <w:tr w:rsidR="003E36E9" w:rsidRPr="007441FB" w14:paraId="73497C4D" w14:textId="77777777" w:rsidTr="007534B1">
                    <w:trPr>
                      <w:gridAfter w:val="1"/>
                      <w:wAfter w:w="274" w:type="dxa"/>
                      <w:trHeight w:val="2514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  <w:hideMark/>
                      </w:tcPr>
                      <w:p w14:paraId="2FC1C112" w14:textId="7053FD8A" w:rsidR="007E729E" w:rsidRDefault="007E729E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7441FB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Memberships</w:t>
                        </w:r>
                        <w:r w:rsidR="00651CF3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  <w:p w14:paraId="55BAE026" w14:textId="77777777" w:rsidR="000B663E" w:rsidRDefault="000B663E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37188C02" w14:textId="77777777" w:rsidR="00D32340" w:rsidRDefault="00D32340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3BFF29B" w14:textId="77777777" w:rsidR="00D32340" w:rsidRDefault="00D32340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35CB01E5" w14:textId="77777777" w:rsidR="00D32340" w:rsidRDefault="00D32340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48148303" w14:textId="77777777" w:rsidR="00D32340" w:rsidRDefault="00D32340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55F2D53E" w14:textId="77777777" w:rsidR="00D32340" w:rsidRDefault="00D32340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6A79262B" w14:textId="77777777" w:rsidR="00D32340" w:rsidRPr="00D32340" w:rsidRDefault="00D32340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32340">
                          <w:rPr>
                            <w:rFonts w:ascii="Times New Roman" w:eastAsia="Times New Roman" w:hAnsi="Times New Roman"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Duties and Responsibilities:</w:t>
                        </w:r>
                      </w:p>
                      <w:p w14:paraId="44BA3782" w14:textId="77777777" w:rsidR="00D32340" w:rsidRPr="007441FB" w:rsidRDefault="00D32340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36F041AE" w14:textId="77777777" w:rsidR="003E36E9" w:rsidRPr="007441F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" w:type="dxa"/>
                        <w:hideMark/>
                      </w:tcPr>
                      <w:p w14:paraId="3A1486AE" w14:textId="77777777" w:rsidR="003E36E9" w:rsidRPr="00C87DDB" w:rsidRDefault="003E36E9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6600" w:type="dxa"/>
                        <w:gridSpan w:val="3"/>
                        <w:hideMark/>
                      </w:tcPr>
                      <w:p w14:paraId="407F8C37" w14:textId="77777777" w:rsidR="00727339" w:rsidRPr="00C87DDB" w:rsidRDefault="0019448D" w:rsidP="005A0F0A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>Member of</w:t>
                        </w:r>
                        <w:r w:rsidR="00D32340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 xml:space="preserve">  </w:t>
                        </w:r>
                        <w:r w:rsidR="004A7D7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 xml:space="preserve"> </w:t>
                        </w:r>
                        <w:r w:rsidR="00727339" w:rsidRPr="00C87DD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>IAENG International Association of Engineers.</w:t>
                        </w:r>
                      </w:p>
                      <w:p w14:paraId="7832ECFF" w14:textId="77777777" w:rsidR="00727339" w:rsidRPr="00C87DDB" w:rsidRDefault="0019448D" w:rsidP="005A0F0A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>Member of</w:t>
                        </w:r>
                        <w:r w:rsidR="004A7D7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 xml:space="preserve"> </w:t>
                        </w:r>
                        <w:r w:rsidR="00727339" w:rsidRPr="00C87D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IAENG Society </w:t>
                        </w:r>
                        <w:r w:rsidR="00843134" w:rsidRPr="00C87D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of Industrial Engineering</w:t>
                        </w:r>
                      </w:p>
                      <w:p w14:paraId="54BAFCBB" w14:textId="77777777" w:rsidR="00727339" w:rsidRPr="00C87DDB" w:rsidRDefault="0019448D" w:rsidP="005A0F0A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>Member of</w:t>
                        </w:r>
                        <w:r w:rsidR="004A7D78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  <w:t xml:space="preserve"> </w:t>
                        </w:r>
                        <w:r w:rsidR="00727339" w:rsidRPr="00C87D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IAENG Society of Operations Research</w:t>
                        </w:r>
                      </w:p>
                      <w:p w14:paraId="247E62C9" w14:textId="77777777" w:rsidR="00727339" w:rsidRPr="00C87DDB" w:rsidRDefault="005A0F0A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 w:rsidR="00727339" w:rsidRPr="00C87D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Member of AIMS International</w:t>
                        </w:r>
                        <w:r w:rsidR="00BE085F" w:rsidRPr="00C87D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-2015</w:t>
                        </w:r>
                      </w:p>
                      <w:p w14:paraId="1FA06C1F" w14:textId="77777777" w:rsidR="001242EA" w:rsidRPr="00C87DDB" w:rsidRDefault="005A0F0A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  <w:r w:rsidR="00DB33D1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Member of Editorial Board,</w:t>
                        </w:r>
                        <w:r w:rsidR="004A7D78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1242EA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Canadian Journal of Basic and Applied Sciences</w:t>
                        </w:r>
                      </w:p>
                      <w:p w14:paraId="6860B674" w14:textId="77777777" w:rsidR="008E5924" w:rsidRPr="00C87DDB" w:rsidRDefault="008E5924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Member of Editorial Board, Journal of Mechanical and Mechanics Engineering</w:t>
                        </w:r>
                      </w:p>
                      <w:p w14:paraId="61446E22" w14:textId="77777777" w:rsidR="008E5924" w:rsidRPr="00C87DDB" w:rsidRDefault="008E5924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Member of Editorial Board, International Journal for Research in Mechanical  </w:t>
                        </w:r>
                      </w:p>
                      <w:p w14:paraId="19420112" w14:textId="77777777" w:rsidR="008E5924" w:rsidRPr="00C87DDB" w:rsidRDefault="008E5924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Engineering and its Applications</w:t>
                        </w:r>
                      </w:p>
                      <w:p w14:paraId="142FC68A" w14:textId="77777777" w:rsidR="00CA41A5" w:rsidRPr="00C87DDB" w:rsidRDefault="005A0F0A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  <w:r w:rsidR="00431B9E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Life Member of Indian</w:t>
                        </w:r>
                        <w:r w:rsidR="0019448D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Institution of Industrial Engineering, (IIIE)</w:t>
                        </w:r>
                        <w:r w:rsidR="00431B9E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LM-</w:t>
                        </w:r>
                      </w:p>
                      <w:p w14:paraId="07E05C0D" w14:textId="77777777" w:rsidR="00431B9E" w:rsidRPr="00C87DDB" w:rsidRDefault="005A0F0A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  <w:r w:rsidR="00431B9E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10784(99)</w:t>
                        </w:r>
                      </w:p>
                      <w:p w14:paraId="45380FE0" w14:textId="77777777" w:rsidR="00431B9E" w:rsidRPr="00C87DDB" w:rsidRDefault="005A0F0A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</w:t>
                        </w:r>
                        <w:r w:rsidR="00431B9E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Life Member of </w:t>
                        </w:r>
                        <w:r w:rsidR="00496D67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Indian Soc</w:t>
                        </w:r>
                        <w:r w:rsidR="00DB33D1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iety of Technical Education,</w:t>
                        </w:r>
                        <w:r w:rsidR="0019448D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(ISTE)</w:t>
                        </w:r>
                        <w:r w:rsidR="00DB33D1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LM-</w:t>
                        </w:r>
                        <w:r w:rsidR="00496D67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108065</w:t>
                        </w:r>
                      </w:p>
                      <w:p w14:paraId="12C5E436" w14:textId="77777777" w:rsidR="0019448D" w:rsidRPr="00C87DDB" w:rsidRDefault="0019448D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Member of Indian Green Building Counseling (IGBC)</w:t>
                        </w:r>
                      </w:p>
                      <w:p w14:paraId="4CD0AB4E" w14:textId="77777777" w:rsidR="0019448D" w:rsidRPr="00C87DDB" w:rsidRDefault="0019448D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Member of American Society of Heating, Refrigerating and Air-Conditioning  </w:t>
                        </w:r>
                      </w:p>
                      <w:p w14:paraId="7C48B84F" w14:textId="55798158" w:rsidR="0019448D" w:rsidRDefault="0019448D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 Engineers (ASHRAE) </w:t>
                        </w:r>
                        <w:r w:rsidR="002B5921"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for INDIA</w:t>
                        </w:r>
                        <w:r w:rsidRPr="00C87DD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Chapter</w:t>
                        </w:r>
                      </w:p>
                      <w:p w14:paraId="0CD39AE6" w14:textId="77777777" w:rsidR="00D32340" w:rsidRDefault="00D32340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524470FF" w14:textId="1FAEBEEE" w:rsidR="002B5921" w:rsidRDefault="002B5921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Deputy Director Recognition of Prior Learning (RPL) Cell</w:t>
                        </w:r>
                        <w:r w:rsidR="00651CF3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at University</w:t>
                        </w:r>
                      </w:p>
                      <w:p w14:paraId="39F9ADDA" w14:textId="6798F48A" w:rsidR="002B5921" w:rsidRDefault="002B5921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In charge of Royal Enfield Center at University</w:t>
                        </w:r>
                      </w:p>
                      <w:p w14:paraId="2E11FA70" w14:textId="77777777" w:rsidR="00D32340" w:rsidRDefault="00D32340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Faculty Coordinator of Mechanical Engineering Department for Indian Green Building Chapter (IGBC)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2C177FA" w14:textId="77777777" w:rsidR="00D32340" w:rsidRDefault="00D32340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Faculty Coordinator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of </w:t>
                        </w: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American Society of Heating, Refrigerating and Air-Conditioning Engineers (ASHRAE)</w:t>
                        </w:r>
                      </w:p>
                      <w:p w14:paraId="3EB39EAC" w14:textId="1763FEDB" w:rsidR="002B5921" w:rsidRDefault="002B5921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Convenor of International Conference </w:t>
                        </w:r>
                        <w:r w:rsidR="007534B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on Trends &amp; Advances of Mechanical </w:t>
                        </w:r>
                        <w:proofErr w:type="spellStart"/>
                        <w:r w:rsidR="007534B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Engg</w:t>
                        </w:r>
                        <w:proofErr w:type="spellEnd"/>
                        <w:r w:rsidR="007534B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TAME 2021</w:t>
                        </w:r>
                      </w:p>
                      <w:p w14:paraId="410D10F7" w14:textId="7565887C" w:rsidR="002B5921" w:rsidRPr="00D32340" w:rsidRDefault="002B5921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M Tech and BTech Coordinator at department Level </w:t>
                        </w:r>
                      </w:p>
                      <w:p w14:paraId="53246AC4" w14:textId="77777777" w:rsidR="00D32340" w:rsidRPr="00D32340" w:rsidRDefault="00D32340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Paper setter, Evaluator and External Examiner in various Examinations</w:t>
                        </w:r>
                      </w:p>
                      <w:p w14:paraId="3720BCD8" w14:textId="77777777" w:rsidR="00D32340" w:rsidRDefault="00D32340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Organizing member of various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Co</w:t>
                        </w: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nferences and Workshops at University level</w:t>
                        </w:r>
                      </w:p>
                      <w:p w14:paraId="21635E48" w14:textId="604FCC0D" w:rsidR="007534B1" w:rsidRDefault="004A7D78" w:rsidP="007534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Member of NAAC</w:t>
                        </w:r>
                        <w:r w:rsidR="007534B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, NBA,12 B, Convocation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Core Team committee </w:t>
                        </w:r>
                        <w:r w:rsidR="007534B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651CF3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university</w:t>
                        </w:r>
                        <w:r w:rsidR="007534B1"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level</w:t>
                        </w:r>
                      </w:p>
                      <w:p w14:paraId="379AFC1E" w14:textId="4CCCD5FA" w:rsidR="00D32340" w:rsidRPr="00D32340" w:rsidRDefault="00D32340" w:rsidP="00D32340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Members of various Committees like Admission, Anti-Ragging, Discipline, Inspection Committees</w:t>
                        </w:r>
                        <w:r w:rsidR="00052CCC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, Staff Selection  </w:t>
                        </w:r>
                        <w:r w:rsidR="00052CCC"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and other duties assigned by </w:t>
                        </w:r>
                        <w:r w:rsidR="00651CF3" w:rsidRPr="00D32340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university</w:t>
                        </w:r>
                      </w:p>
                      <w:p w14:paraId="4FC6CEC8" w14:textId="77777777" w:rsidR="00D32340" w:rsidRPr="00C87DDB" w:rsidRDefault="00D32340" w:rsidP="005A0F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18F7BE3A" w14:textId="77777777" w:rsidR="003E36E9" w:rsidRPr="00C87DDB" w:rsidRDefault="003E36E9" w:rsidP="008E5924">
                        <w:pPr>
                          <w:spacing w:before="100" w:beforeAutospacing="1" w:after="100" w:afterAutospacing="1" w:line="240" w:lineRule="auto"/>
                          <w:ind w:left="-142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C87DD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2B5921" w:rsidRPr="007441FB" w14:paraId="78A57D71" w14:textId="77777777" w:rsidTr="007534B1">
                    <w:trPr>
                      <w:gridAfter w:val="1"/>
                      <w:wAfter w:w="274" w:type="dxa"/>
                      <w:trHeight w:val="2514"/>
                      <w:tblCellSpacing w:w="0" w:type="dxa"/>
                    </w:trPr>
                    <w:tc>
                      <w:tcPr>
                        <w:tcW w:w="2538" w:type="dxa"/>
                        <w:gridSpan w:val="5"/>
                      </w:tcPr>
                      <w:p w14:paraId="6446F08E" w14:textId="0D55ADA5" w:rsidR="002B5921" w:rsidRPr="007441FB" w:rsidRDefault="002B5921" w:rsidP="00EE3172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7" w:type="dxa"/>
                      </w:tcPr>
                      <w:p w14:paraId="108762E3" w14:textId="77777777" w:rsidR="002B5921" w:rsidRPr="00C87DDB" w:rsidRDefault="002B5921" w:rsidP="003E36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600" w:type="dxa"/>
                        <w:gridSpan w:val="3"/>
                      </w:tcPr>
                      <w:p w14:paraId="34E963C6" w14:textId="77777777" w:rsidR="002B5921" w:rsidRPr="00C87DDB" w:rsidRDefault="002B5921" w:rsidP="005A0F0A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bdr w:val="single" w:sz="8" w:space="5" w:color="FBFBFB" w:frame="1"/>
                          </w:rPr>
                        </w:pPr>
                      </w:p>
                    </w:tc>
                  </w:tr>
                </w:tbl>
                <w:p w14:paraId="65328FE1" w14:textId="77777777" w:rsidR="003E36E9" w:rsidRPr="007441FB" w:rsidRDefault="003E36E9" w:rsidP="003E36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E6D042" w14:textId="77777777" w:rsidR="003E36E9" w:rsidRPr="007441FB" w:rsidRDefault="003E36E9" w:rsidP="003E3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3B2A9A6" w14:textId="77777777" w:rsidR="0013088A" w:rsidRPr="007441FB" w:rsidRDefault="0013088A">
      <w:pPr>
        <w:rPr>
          <w:rFonts w:ascii="Times New Roman" w:hAnsi="Times New Roman" w:cs="Times New Roman"/>
          <w:sz w:val="20"/>
          <w:szCs w:val="20"/>
        </w:rPr>
      </w:pPr>
    </w:p>
    <w:sectPr w:rsidR="0013088A" w:rsidRPr="007441FB" w:rsidSect="009D7D9F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C0F4" w14:textId="77777777" w:rsidR="00F50DC0" w:rsidRDefault="00F50DC0" w:rsidP="003E36E9">
      <w:pPr>
        <w:spacing w:after="0" w:line="240" w:lineRule="auto"/>
      </w:pPr>
      <w:r>
        <w:separator/>
      </w:r>
    </w:p>
  </w:endnote>
  <w:endnote w:type="continuationSeparator" w:id="0">
    <w:p w14:paraId="6DF75F10" w14:textId="77777777" w:rsidR="00F50DC0" w:rsidRDefault="00F50DC0" w:rsidP="003E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19727" w14:textId="77777777" w:rsidR="00F50DC0" w:rsidRDefault="00F50DC0" w:rsidP="003E36E9">
      <w:pPr>
        <w:spacing w:after="0" w:line="240" w:lineRule="auto"/>
      </w:pPr>
      <w:r>
        <w:separator/>
      </w:r>
    </w:p>
  </w:footnote>
  <w:footnote w:type="continuationSeparator" w:id="0">
    <w:p w14:paraId="52310782" w14:textId="77777777" w:rsidR="00F50DC0" w:rsidRDefault="00F50DC0" w:rsidP="003E3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CA7"/>
    <w:multiLevelType w:val="hybridMultilevel"/>
    <w:tmpl w:val="57FE2D06"/>
    <w:lvl w:ilvl="0" w:tplc="69E840CC">
      <w:start w:val="1"/>
      <w:numFmt w:val="decimal"/>
      <w:lvlText w:val="%1."/>
      <w:lvlJc w:val="left"/>
      <w:pPr>
        <w:ind w:left="645" w:hanging="360"/>
      </w:pPr>
      <w:rPr>
        <w:rFonts w:eastAsia="Times New Roma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365" w:hanging="360"/>
      </w:pPr>
    </w:lvl>
    <w:lvl w:ilvl="2" w:tplc="4009001B" w:tentative="1">
      <w:start w:val="1"/>
      <w:numFmt w:val="lowerRoman"/>
      <w:lvlText w:val="%3."/>
      <w:lvlJc w:val="right"/>
      <w:pPr>
        <w:ind w:left="2085" w:hanging="180"/>
      </w:pPr>
    </w:lvl>
    <w:lvl w:ilvl="3" w:tplc="4009000F" w:tentative="1">
      <w:start w:val="1"/>
      <w:numFmt w:val="decimal"/>
      <w:lvlText w:val="%4."/>
      <w:lvlJc w:val="left"/>
      <w:pPr>
        <w:ind w:left="2805" w:hanging="360"/>
      </w:pPr>
    </w:lvl>
    <w:lvl w:ilvl="4" w:tplc="40090019" w:tentative="1">
      <w:start w:val="1"/>
      <w:numFmt w:val="lowerLetter"/>
      <w:lvlText w:val="%5."/>
      <w:lvlJc w:val="left"/>
      <w:pPr>
        <w:ind w:left="3525" w:hanging="360"/>
      </w:pPr>
    </w:lvl>
    <w:lvl w:ilvl="5" w:tplc="4009001B" w:tentative="1">
      <w:start w:val="1"/>
      <w:numFmt w:val="lowerRoman"/>
      <w:lvlText w:val="%6."/>
      <w:lvlJc w:val="right"/>
      <w:pPr>
        <w:ind w:left="4245" w:hanging="180"/>
      </w:pPr>
    </w:lvl>
    <w:lvl w:ilvl="6" w:tplc="4009000F" w:tentative="1">
      <w:start w:val="1"/>
      <w:numFmt w:val="decimal"/>
      <w:lvlText w:val="%7."/>
      <w:lvlJc w:val="left"/>
      <w:pPr>
        <w:ind w:left="4965" w:hanging="360"/>
      </w:pPr>
    </w:lvl>
    <w:lvl w:ilvl="7" w:tplc="40090019" w:tentative="1">
      <w:start w:val="1"/>
      <w:numFmt w:val="lowerLetter"/>
      <w:lvlText w:val="%8."/>
      <w:lvlJc w:val="left"/>
      <w:pPr>
        <w:ind w:left="5685" w:hanging="360"/>
      </w:pPr>
    </w:lvl>
    <w:lvl w:ilvl="8" w:tplc="4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2D0A23"/>
    <w:multiLevelType w:val="hybridMultilevel"/>
    <w:tmpl w:val="CAD031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4D17"/>
    <w:multiLevelType w:val="hybridMultilevel"/>
    <w:tmpl w:val="5E26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6EE"/>
    <w:multiLevelType w:val="multilevel"/>
    <w:tmpl w:val="7EA0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95762"/>
    <w:multiLevelType w:val="hybridMultilevel"/>
    <w:tmpl w:val="5DBC7B22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51016"/>
    <w:multiLevelType w:val="hybridMultilevel"/>
    <w:tmpl w:val="6A1AC938"/>
    <w:lvl w:ilvl="0" w:tplc="CAB89C52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4797B"/>
    <w:multiLevelType w:val="multilevel"/>
    <w:tmpl w:val="58120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F41EA"/>
    <w:multiLevelType w:val="multilevel"/>
    <w:tmpl w:val="CB38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53F05"/>
    <w:multiLevelType w:val="multilevel"/>
    <w:tmpl w:val="D3B6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D79E2"/>
    <w:multiLevelType w:val="hybridMultilevel"/>
    <w:tmpl w:val="F07C4C60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B5C6A"/>
    <w:multiLevelType w:val="hybridMultilevel"/>
    <w:tmpl w:val="1D8E15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F3CCE"/>
    <w:multiLevelType w:val="multilevel"/>
    <w:tmpl w:val="B03A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E21A2"/>
    <w:multiLevelType w:val="multilevel"/>
    <w:tmpl w:val="E52ED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62B08"/>
    <w:multiLevelType w:val="hybridMultilevel"/>
    <w:tmpl w:val="EBDE215A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90557">
    <w:abstractNumId w:val="7"/>
  </w:num>
  <w:num w:numId="2" w16cid:durableId="246304305">
    <w:abstractNumId w:val="6"/>
  </w:num>
  <w:num w:numId="3" w16cid:durableId="1005134525">
    <w:abstractNumId w:val="8"/>
  </w:num>
  <w:num w:numId="4" w16cid:durableId="33357973">
    <w:abstractNumId w:val="11"/>
  </w:num>
  <w:num w:numId="5" w16cid:durableId="153962081">
    <w:abstractNumId w:val="3"/>
  </w:num>
  <w:num w:numId="6" w16cid:durableId="1227062426">
    <w:abstractNumId w:val="12"/>
  </w:num>
  <w:num w:numId="7" w16cid:durableId="1028019888">
    <w:abstractNumId w:val="2"/>
  </w:num>
  <w:num w:numId="8" w16cid:durableId="594703025">
    <w:abstractNumId w:val="5"/>
  </w:num>
  <w:num w:numId="9" w16cid:durableId="619072410">
    <w:abstractNumId w:val="0"/>
  </w:num>
  <w:num w:numId="10" w16cid:durableId="51538499">
    <w:abstractNumId w:val="4"/>
  </w:num>
  <w:num w:numId="11" w16cid:durableId="555552670">
    <w:abstractNumId w:val="9"/>
  </w:num>
  <w:num w:numId="12" w16cid:durableId="1614894523">
    <w:abstractNumId w:val="13"/>
  </w:num>
  <w:num w:numId="13" w16cid:durableId="1101606810">
    <w:abstractNumId w:val="1"/>
  </w:num>
  <w:num w:numId="14" w16cid:durableId="457652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E9"/>
    <w:rsid w:val="000062F2"/>
    <w:rsid w:val="000134D1"/>
    <w:rsid w:val="00015C41"/>
    <w:rsid w:val="00020211"/>
    <w:rsid w:val="00026B1E"/>
    <w:rsid w:val="00036D0C"/>
    <w:rsid w:val="0004425A"/>
    <w:rsid w:val="000442CA"/>
    <w:rsid w:val="00052CCC"/>
    <w:rsid w:val="00057062"/>
    <w:rsid w:val="00066BA8"/>
    <w:rsid w:val="00067515"/>
    <w:rsid w:val="00072BB1"/>
    <w:rsid w:val="0009092F"/>
    <w:rsid w:val="00091031"/>
    <w:rsid w:val="000922C1"/>
    <w:rsid w:val="000B167D"/>
    <w:rsid w:val="000B54BE"/>
    <w:rsid w:val="000B663E"/>
    <w:rsid w:val="000C542C"/>
    <w:rsid w:val="000C6739"/>
    <w:rsid w:val="000C6A1B"/>
    <w:rsid w:val="000E4F5F"/>
    <w:rsid w:val="000F7D92"/>
    <w:rsid w:val="0010591E"/>
    <w:rsid w:val="00111D3D"/>
    <w:rsid w:val="00112352"/>
    <w:rsid w:val="001171CC"/>
    <w:rsid w:val="00121509"/>
    <w:rsid w:val="001242EA"/>
    <w:rsid w:val="0013088A"/>
    <w:rsid w:val="00132C8C"/>
    <w:rsid w:val="00137AC7"/>
    <w:rsid w:val="00142DBA"/>
    <w:rsid w:val="001504CD"/>
    <w:rsid w:val="001516E5"/>
    <w:rsid w:val="00174237"/>
    <w:rsid w:val="00180B0F"/>
    <w:rsid w:val="0019448D"/>
    <w:rsid w:val="00197586"/>
    <w:rsid w:val="001976EF"/>
    <w:rsid w:val="001A04C2"/>
    <w:rsid w:val="001A21D0"/>
    <w:rsid w:val="001A795B"/>
    <w:rsid w:val="001D2A2D"/>
    <w:rsid w:val="001E5255"/>
    <w:rsid w:val="00203DC8"/>
    <w:rsid w:val="002052C0"/>
    <w:rsid w:val="002228E8"/>
    <w:rsid w:val="00234D14"/>
    <w:rsid w:val="00255BA9"/>
    <w:rsid w:val="00257240"/>
    <w:rsid w:val="00261CC8"/>
    <w:rsid w:val="00271756"/>
    <w:rsid w:val="00272D77"/>
    <w:rsid w:val="00296186"/>
    <w:rsid w:val="002B5921"/>
    <w:rsid w:val="002D051C"/>
    <w:rsid w:val="002F2BEB"/>
    <w:rsid w:val="00304A80"/>
    <w:rsid w:val="00314242"/>
    <w:rsid w:val="00314534"/>
    <w:rsid w:val="00324463"/>
    <w:rsid w:val="00331063"/>
    <w:rsid w:val="00333B1E"/>
    <w:rsid w:val="0033569C"/>
    <w:rsid w:val="003367BA"/>
    <w:rsid w:val="0033778D"/>
    <w:rsid w:val="00341BC9"/>
    <w:rsid w:val="00342183"/>
    <w:rsid w:val="00342A24"/>
    <w:rsid w:val="0034416A"/>
    <w:rsid w:val="00346C60"/>
    <w:rsid w:val="00355EE6"/>
    <w:rsid w:val="00370759"/>
    <w:rsid w:val="00386C21"/>
    <w:rsid w:val="00394466"/>
    <w:rsid w:val="003A6033"/>
    <w:rsid w:val="003A75A4"/>
    <w:rsid w:val="003B0620"/>
    <w:rsid w:val="003D0081"/>
    <w:rsid w:val="003E2C87"/>
    <w:rsid w:val="003E36E9"/>
    <w:rsid w:val="003E371E"/>
    <w:rsid w:val="003E6CEA"/>
    <w:rsid w:val="003E7E78"/>
    <w:rsid w:val="00410EEB"/>
    <w:rsid w:val="00415733"/>
    <w:rsid w:val="00425C49"/>
    <w:rsid w:val="004263B2"/>
    <w:rsid w:val="00431B9E"/>
    <w:rsid w:val="00436FD2"/>
    <w:rsid w:val="00441290"/>
    <w:rsid w:val="00461C62"/>
    <w:rsid w:val="0046302C"/>
    <w:rsid w:val="00470267"/>
    <w:rsid w:val="0048602D"/>
    <w:rsid w:val="00487266"/>
    <w:rsid w:val="00495042"/>
    <w:rsid w:val="00495C5F"/>
    <w:rsid w:val="00496D67"/>
    <w:rsid w:val="004A4704"/>
    <w:rsid w:val="004A7D78"/>
    <w:rsid w:val="004B5076"/>
    <w:rsid w:val="004C421E"/>
    <w:rsid w:val="004D03DC"/>
    <w:rsid w:val="004D0E92"/>
    <w:rsid w:val="004D54EC"/>
    <w:rsid w:val="004F20B2"/>
    <w:rsid w:val="004F4F3B"/>
    <w:rsid w:val="004F5A93"/>
    <w:rsid w:val="00500FD2"/>
    <w:rsid w:val="0051455D"/>
    <w:rsid w:val="00523BCA"/>
    <w:rsid w:val="00536DA6"/>
    <w:rsid w:val="0055180B"/>
    <w:rsid w:val="00552DCC"/>
    <w:rsid w:val="0056043A"/>
    <w:rsid w:val="00565C09"/>
    <w:rsid w:val="00566E9F"/>
    <w:rsid w:val="00585266"/>
    <w:rsid w:val="005A0F0A"/>
    <w:rsid w:val="005A6E1B"/>
    <w:rsid w:val="005B4AA0"/>
    <w:rsid w:val="005C363C"/>
    <w:rsid w:val="005C4BA2"/>
    <w:rsid w:val="005C5C0E"/>
    <w:rsid w:val="005E6E26"/>
    <w:rsid w:val="00602ED7"/>
    <w:rsid w:val="006070AC"/>
    <w:rsid w:val="0061561B"/>
    <w:rsid w:val="00617643"/>
    <w:rsid w:val="00617758"/>
    <w:rsid w:val="006243BA"/>
    <w:rsid w:val="006336FB"/>
    <w:rsid w:val="006432F2"/>
    <w:rsid w:val="00651CF3"/>
    <w:rsid w:val="00662913"/>
    <w:rsid w:val="00663321"/>
    <w:rsid w:val="00676427"/>
    <w:rsid w:val="0069588A"/>
    <w:rsid w:val="006A2790"/>
    <w:rsid w:val="006A5343"/>
    <w:rsid w:val="006A61F6"/>
    <w:rsid w:val="006B04C1"/>
    <w:rsid w:val="006B23F8"/>
    <w:rsid w:val="006C4C87"/>
    <w:rsid w:val="006D7D46"/>
    <w:rsid w:val="006E51A5"/>
    <w:rsid w:val="006F7CDF"/>
    <w:rsid w:val="00723E24"/>
    <w:rsid w:val="00727339"/>
    <w:rsid w:val="007273B0"/>
    <w:rsid w:val="00727E84"/>
    <w:rsid w:val="00730CFC"/>
    <w:rsid w:val="00734370"/>
    <w:rsid w:val="00740226"/>
    <w:rsid w:val="0074206E"/>
    <w:rsid w:val="007441FB"/>
    <w:rsid w:val="007534B1"/>
    <w:rsid w:val="00767987"/>
    <w:rsid w:val="007705AB"/>
    <w:rsid w:val="00773A55"/>
    <w:rsid w:val="00781C6F"/>
    <w:rsid w:val="007833FF"/>
    <w:rsid w:val="00783FB8"/>
    <w:rsid w:val="00790FAE"/>
    <w:rsid w:val="007D1AB0"/>
    <w:rsid w:val="007E4D53"/>
    <w:rsid w:val="007E55FE"/>
    <w:rsid w:val="007E729E"/>
    <w:rsid w:val="00804BA0"/>
    <w:rsid w:val="00813CB3"/>
    <w:rsid w:val="00827CA7"/>
    <w:rsid w:val="00840E31"/>
    <w:rsid w:val="00843134"/>
    <w:rsid w:val="00843F6B"/>
    <w:rsid w:val="0084528D"/>
    <w:rsid w:val="00852588"/>
    <w:rsid w:val="008540C8"/>
    <w:rsid w:val="00870CCB"/>
    <w:rsid w:val="008847F6"/>
    <w:rsid w:val="008858ED"/>
    <w:rsid w:val="00892A43"/>
    <w:rsid w:val="00894034"/>
    <w:rsid w:val="008954B5"/>
    <w:rsid w:val="008959A3"/>
    <w:rsid w:val="008A1787"/>
    <w:rsid w:val="008A78C5"/>
    <w:rsid w:val="008D26CE"/>
    <w:rsid w:val="008E0DB2"/>
    <w:rsid w:val="008E5924"/>
    <w:rsid w:val="008F22CF"/>
    <w:rsid w:val="009246F7"/>
    <w:rsid w:val="00927943"/>
    <w:rsid w:val="00931AB6"/>
    <w:rsid w:val="009336EE"/>
    <w:rsid w:val="00933E3F"/>
    <w:rsid w:val="00937BC7"/>
    <w:rsid w:val="00940C4F"/>
    <w:rsid w:val="009526E0"/>
    <w:rsid w:val="00960BDC"/>
    <w:rsid w:val="00974413"/>
    <w:rsid w:val="00980052"/>
    <w:rsid w:val="00980403"/>
    <w:rsid w:val="00986960"/>
    <w:rsid w:val="0099037B"/>
    <w:rsid w:val="0099436A"/>
    <w:rsid w:val="00997C1F"/>
    <w:rsid w:val="009A0E4F"/>
    <w:rsid w:val="009A736E"/>
    <w:rsid w:val="009B33A8"/>
    <w:rsid w:val="009D2A9C"/>
    <w:rsid w:val="009D7D9F"/>
    <w:rsid w:val="009E5B88"/>
    <w:rsid w:val="009F2582"/>
    <w:rsid w:val="00A21528"/>
    <w:rsid w:val="00A447E6"/>
    <w:rsid w:val="00A46DF7"/>
    <w:rsid w:val="00A66424"/>
    <w:rsid w:val="00A725B4"/>
    <w:rsid w:val="00A7271E"/>
    <w:rsid w:val="00A9199A"/>
    <w:rsid w:val="00A97078"/>
    <w:rsid w:val="00AA23E6"/>
    <w:rsid w:val="00AA64FB"/>
    <w:rsid w:val="00AC25E6"/>
    <w:rsid w:val="00AC58D6"/>
    <w:rsid w:val="00AC78FD"/>
    <w:rsid w:val="00AD0A0E"/>
    <w:rsid w:val="00AD0C5F"/>
    <w:rsid w:val="00AD3B10"/>
    <w:rsid w:val="00AD3B7F"/>
    <w:rsid w:val="00AE781F"/>
    <w:rsid w:val="00B040A6"/>
    <w:rsid w:val="00B07EB3"/>
    <w:rsid w:val="00B34E1F"/>
    <w:rsid w:val="00B3722A"/>
    <w:rsid w:val="00B401C3"/>
    <w:rsid w:val="00B563E1"/>
    <w:rsid w:val="00B654F6"/>
    <w:rsid w:val="00B67BA5"/>
    <w:rsid w:val="00B849BD"/>
    <w:rsid w:val="00BA43CA"/>
    <w:rsid w:val="00BB2A8D"/>
    <w:rsid w:val="00BD26EE"/>
    <w:rsid w:val="00BE085F"/>
    <w:rsid w:val="00BE6CFF"/>
    <w:rsid w:val="00BF0CAC"/>
    <w:rsid w:val="00BF151D"/>
    <w:rsid w:val="00C170E0"/>
    <w:rsid w:val="00C179A7"/>
    <w:rsid w:val="00C21121"/>
    <w:rsid w:val="00C22D48"/>
    <w:rsid w:val="00C24157"/>
    <w:rsid w:val="00C37463"/>
    <w:rsid w:val="00C37D98"/>
    <w:rsid w:val="00C37F45"/>
    <w:rsid w:val="00C57F40"/>
    <w:rsid w:val="00C87DDB"/>
    <w:rsid w:val="00C92C38"/>
    <w:rsid w:val="00CA41A5"/>
    <w:rsid w:val="00CB0F3B"/>
    <w:rsid w:val="00CB35DF"/>
    <w:rsid w:val="00CB63BA"/>
    <w:rsid w:val="00CC2571"/>
    <w:rsid w:val="00CC3B43"/>
    <w:rsid w:val="00CE1C38"/>
    <w:rsid w:val="00CE4081"/>
    <w:rsid w:val="00CE4ADD"/>
    <w:rsid w:val="00CF3035"/>
    <w:rsid w:val="00CF48AB"/>
    <w:rsid w:val="00CF6113"/>
    <w:rsid w:val="00D04BBF"/>
    <w:rsid w:val="00D10981"/>
    <w:rsid w:val="00D20C4A"/>
    <w:rsid w:val="00D25E6D"/>
    <w:rsid w:val="00D26A1B"/>
    <w:rsid w:val="00D32340"/>
    <w:rsid w:val="00D431C5"/>
    <w:rsid w:val="00D513EF"/>
    <w:rsid w:val="00D82A66"/>
    <w:rsid w:val="00DA770F"/>
    <w:rsid w:val="00DB33D1"/>
    <w:rsid w:val="00DB36EA"/>
    <w:rsid w:val="00DB3A8D"/>
    <w:rsid w:val="00DD14C0"/>
    <w:rsid w:val="00DE467B"/>
    <w:rsid w:val="00E0543F"/>
    <w:rsid w:val="00E05A6C"/>
    <w:rsid w:val="00E12674"/>
    <w:rsid w:val="00E156D5"/>
    <w:rsid w:val="00E24AE9"/>
    <w:rsid w:val="00E263F6"/>
    <w:rsid w:val="00E2686F"/>
    <w:rsid w:val="00E30AC8"/>
    <w:rsid w:val="00E4625F"/>
    <w:rsid w:val="00E64BC1"/>
    <w:rsid w:val="00E87B35"/>
    <w:rsid w:val="00E87E69"/>
    <w:rsid w:val="00E9236D"/>
    <w:rsid w:val="00EA550A"/>
    <w:rsid w:val="00EC6B98"/>
    <w:rsid w:val="00ED2D30"/>
    <w:rsid w:val="00ED7ADE"/>
    <w:rsid w:val="00EE3172"/>
    <w:rsid w:val="00EF27B1"/>
    <w:rsid w:val="00EF4AD1"/>
    <w:rsid w:val="00F06905"/>
    <w:rsid w:val="00F06F15"/>
    <w:rsid w:val="00F07FE5"/>
    <w:rsid w:val="00F155E2"/>
    <w:rsid w:val="00F36D47"/>
    <w:rsid w:val="00F36F93"/>
    <w:rsid w:val="00F411DD"/>
    <w:rsid w:val="00F50DC0"/>
    <w:rsid w:val="00F649DA"/>
    <w:rsid w:val="00F7230A"/>
    <w:rsid w:val="00F76394"/>
    <w:rsid w:val="00F819B9"/>
    <w:rsid w:val="00F82797"/>
    <w:rsid w:val="00F93E94"/>
    <w:rsid w:val="00F941AE"/>
    <w:rsid w:val="00FA6E09"/>
    <w:rsid w:val="00FB36F6"/>
    <w:rsid w:val="00FB75E4"/>
    <w:rsid w:val="00FD6F35"/>
    <w:rsid w:val="00FE6FEC"/>
    <w:rsid w:val="00FF383E"/>
    <w:rsid w:val="00FF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6F88"/>
  <w15:docId w15:val="{E72DA005-83A9-47AA-B8CB-B62C12A4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link w:val="Heading8Char"/>
    <w:qFormat/>
    <w:rsid w:val="009D7D9F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6E9"/>
  </w:style>
  <w:style w:type="character" w:styleId="Hyperlink">
    <w:name w:val="Hyperlink"/>
    <w:basedOn w:val="DefaultParagraphFont"/>
    <w:uiPriority w:val="99"/>
    <w:semiHidden/>
    <w:unhideWhenUsed/>
    <w:rsid w:val="003E36E9"/>
    <w:rPr>
      <w:color w:val="0000FF"/>
      <w:u w:val="single"/>
    </w:rPr>
  </w:style>
  <w:style w:type="paragraph" w:customStyle="1" w:styleId="default">
    <w:name w:val="default"/>
    <w:basedOn w:val="Normal"/>
    <w:rsid w:val="003E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pt">
    <w:name w:val="normal10pt"/>
    <w:basedOn w:val="Normal"/>
    <w:rsid w:val="003E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36E9"/>
    <w:rPr>
      <w:b/>
      <w:bCs/>
    </w:rPr>
  </w:style>
  <w:style w:type="character" w:styleId="Emphasis">
    <w:name w:val="Emphasis"/>
    <w:basedOn w:val="DefaultParagraphFont"/>
    <w:uiPriority w:val="20"/>
    <w:qFormat/>
    <w:rsid w:val="003E36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E9"/>
    <w:rPr>
      <w:rFonts w:ascii="Tahoma" w:hAnsi="Tahoma" w:cs="Tahoma"/>
      <w:sz w:val="16"/>
      <w:szCs w:val="16"/>
    </w:rPr>
  </w:style>
  <w:style w:type="paragraph" w:customStyle="1" w:styleId="Default0">
    <w:name w:val="Default"/>
    <w:rsid w:val="00BA43CA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9D7D9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F4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48AB"/>
  </w:style>
  <w:style w:type="paragraph" w:styleId="Footer">
    <w:name w:val="footer"/>
    <w:basedOn w:val="Normal"/>
    <w:link w:val="FooterChar"/>
    <w:uiPriority w:val="99"/>
    <w:semiHidden/>
    <w:unhideWhenUsed/>
    <w:rsid w:val="00CF4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8AB"/>
  </w:style>
  <w:style w:type="paragraph" w:styleId="NoSpacing">
    <w:name w:val="No Spacing"/>
    <w:uiPriority w:val="1"/>
    <w:qFormat/>
    <w:rsid w:val="000442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Cite">
    <w:name w:val="HTML Cite"/>
    <w:basedOn w:val="DefaultParagraphFont"/>
    <w:uiPriority w:val="99"/>
    <w:rsid w:val="00A72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9D57-718E-4415-A219-80BBF7B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anshu</dc:creator>
  <cp:lastModifiedBy>acer</cp:lastModifiedBy>
  <cp:revision>3</cp:revision>
  <dcterms:created xsi:type="dcterms:W3CDTF">2024-12-10T07:47:00Z</dcterms:created>
  <dcterms:modified xsi:type="dcterms:W3CDTF">2025-04-16T05:33:00Z</dcterms:modified>
</cp:coreProperties>
</file>